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22" w:type="dxa"/>
        <w:tblLayout w:type="fixed"/>
        <w:tblLook w:val="0000"/>
      </w:tblPr>
      <w:tblGrid>
        <w:gridCol w:w="10415"/>
      </w:tblGrid>
      <w:tr w:rsidR="00941C46"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C46" w:rsidRDefault="00941C46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>
              <w:pict>
                <v:group id="_x0000_s1026" style="position:absolute;left:0;text-align:left;margin-left:12.5pt;margin-top:9.65pt;width:32.9pt;height:47.35pt;z-index:251657216;mso-wrap-distance-left:0;mso-wrap-distance-right:0" coordorigin="250,193" coordsize="657,946">
                  <o:lock v:ext="edit" text="t"/>
                  <v:shape id="_x0000_s1027" style="position:absolute;left:250;top:491;width:657;height:648;mso-wrap-style:none;v-text-anchor:middle" coordsize="20000,20000" path="m19981,740r-1204,25l17670,893r-1032,204l15740,1352r-840,332l14174,2092r-650,485l12951,3112r-477,587l12073,4362r-363,689l11461,5816r-210,791l11117,7449r-95,893l11003,9286r,7959l8978,19974r,-10688l8940,8342r-77,-893l8730,6607,8520,5816,8233,5051,7908,4362,7488,3699,7011,3112,6457,2577,5807,2092,5062,1684,4241,1352,3324,1097,2311,893,1203,765,,740,,,19981,r,740xe" fillcolor="#69f" stroked="f">
                    <v:fill opacity=".5" color2="#960"/>
                  </v:shape>
                  <v:shape id="_x0000_s1028" style="position:absolute;left:264;top:193;width:593;height:225;mso-wrap-style:none;v-text-anchor:middle" coordsize="20000,20000" path="m,l483,1042r504,912l1471,2801r525,717l2479,4169r504,652l3487,5407r526,456l4349,6124r357,326l5042,6645r357,130l5735,6971r315,195l6429,7296r315,66l7080,7492r357,l7773,7557r336,l8445,7557r316,l9097,7492r336,l10336,7296r903,-390l12080,6515r840,-391l13739,5603r778,-456l15252,4691r693,-391l16597,3909r609,-261l17752,3453r504,l18676,3518r400,326l19412,4300r231,651l19832,5798r84,977l19979,8143r,1434l19895,11401r-168,2019l19496,15765r-294,2671l18887,15635r-358,-2280l18130,11401,17710,9772,17269,8599r-483,-977l16261,6971r-526,-326l15105,6515r-693,195l13718,7166r-693,652l12269,8664r-735,1043l10777,10814r-714,1238l9307,13225r-757,1238l7836,15635r-756,1173l6387,17785r-694,847l5000,19283r-630,456l4013,19870r-337,65l3340,19870r-336,-131l2710,19479r-294,-391l2143,18632r-273,-652l1681,17459r-168,-586l1366,16221r-169,-716l1050,14658,903,13811,777,12769,672,11726,546,10554,420,9316,336,8013,252,6645,189,5147,84,3518,21,1759,,xe" fillcolor="#69f" stroked="f">
                    <v:fill opacity=".5" color2="#960"/>
                  </v:shape>
                </v:group>
              </w:pict>
            </w:r>
            <w:r>
              <w:pict>
                <v:group id="_x0000_s1029" style="position:absolute;left:0;text-align:left;margin-left:5.15pt;margin-top:9.65pt;width:40.85pt;height:48.05pt;z-index:251658240;mso-wrap-distance-left:0;mso-wrap-distance-right:0" coordorigin="103,193" coordsize="816,960">
                  <o:lock v:ext="edit" text="t"/>
                  <v:shape id="_x0000_s1030" style="position:absolute;left:103;top:495;width:816;height:658;mso-wrap-style:none;v-text-anchor:middle" coordsize="20000,20000" path="m19981,740r-1204,25l17670,893r-1032,204l15740,1352r-840,332l14174,2092r-650,485l12951,3112r-477,587l12073,4362r-363,689l11461,5816r-210,791l11117,7449r-95,893l11003,9286r,7959l8978,19974r,-10688l8940,8342r-77,-893l8730,6607,8520,5816,8233,5051,7908,4362,7488,3699,7011,3112,6457,2577,5807,2092,5062,1684,4241,1352,3324,1097,2311,893,1203,765,,740,,,19981,r,740xe" fillcolor="#06f" stroked="f">
                    <v:fill color2="#f90"/>
                  </v:shape>
                  <v:shape id="_x0000_s1031" style="position:absolute;left:169;top:193;width:738;height:228;mso-wrap-style:none;v-text-anchor:middle" coordsize="20000,20000" path="m,l483,1042r504,912l1471,2801r525,717l2479,4169r504,652l3487,5407r526,456l4349,6124r357,326l5042,6645r357,130l5735,6971r315,195l6429,7296r315,66l7080,7492r357,l7773,7557r336,l8445,7557r316,l9097,7492r336,l10336,7296r903,-390l12080,6515r840,-391l13739,5603r778,-456l15252,4691r693,-391l16597,3909r609,-261l17752,3453r504,l18676,3518r400,326l19412,4300r231,651l19832,5798r84,977l19979,8143r,1434l19895,11401r-168,2019l19496,15765r-294,2671l18887,15635r-358,-2280l18130,11401,17710,9772,17269,8599r-483,-977l16261,6971r-526,-326l15105,6515r-693,195l13718,7166r-693,652l12269,8664r-735,1043l10777,10814r-714,1238l9307,13225r-757,1238l7836,15635r-756,1173l6387,17785r-694,847l5000,19283r-630,456l4013,19870r-337,65l3340,19870r-336,-131l2710,19479r-294,-391l2143,18632r-273,-652l1681,17459r-168,-586l1366,16221r-169,-716l1050,14658,903,13811,777,12769,672,11726,546,10554,420,9316,336,8013,252,6645,189,5147,84,3518,21,1759,,xe" fillcolor="#06f" stroked="f">
                    <v:fill color2="#f90"/>
                  </v:shape>
                </v:group>
              </w:pict>
            </w:r>
          </w:p>
          <w:p w:rsidR="00941C46" w:rsidRDefault="00941C46">
            <w:pPr>
              <w:pStyle w:val="a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ПРИЛОЖЕНИЕ № 6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 xml:space="preserve">САНКЦИИ </w:t>
            </w:r>
          </w:p>
          <w:p w:rsidR="00941C46" w:rsidRDefault="00941C46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 ДОГОВОРУ №_______________от __________ 20__ г.</w:t>
            </w:r>
          </w:p>
          <w:p w:rsidR="00941C46" w:rsidRDefault="00941C46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между АО «Тандер» и ______________________</w:t>
            </w:r>
          </w:p>
          <w:p w:rsidR="00941C46" w:rsidRDefault="00941C46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</w:p>
          <w:p w:rsidR="00941C46" w:rsidRDefault="00941C46">
            <w:pPr>
              <w:pStyle w:val="a8"/>
              <w:spacing w:after="5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__________________                                                                                                   «___»___________ 20__г.</w:t>
            </w:r>
          </w:p>
        </w:tc>
      </w:tr>
      <w:tr w:rsidR="00941C46"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C46" w:rsidRDefault="00941C46">
            <w:pPr>
              <w:pStyle w:val="a8"/>
              <w:tabs>
                <w:tab w:val="left" w:pos="7725"/>
              </w:tabs>
              <w:snapToGrid w:val="0"/>
              <w:spacing w:before="57" w:after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1. </w:t>
            </w:r>
            <w:proofErr w:type="gramStart"/>
            <w:r>
              <w:rPr>
                <w:sz w:val="22"/>
                <w:szCs w:val="22"/>
                <w:lang w:val="ru-RU"/>
              </w:rPr>
              <w:t>В случае непредставления товарнотранспортных, товаросопроводительных, коммерческих документов (накладных, ТТН, УПД, документов, подтверждающих качество и безопасность товара, счетов-фактур и прочих документов, являющихся обязательными в соответствии с нормами действующего законодательства РФ), либо непредставления надлежащим образом оформленных в соответствии с требованиями действующего законодательства и положениями настоящего Договора документов (в том числе при непредставлении Поставщиком подтверждения полномочий лиц, подписавших указанные документы) в срок, предусмотренный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пунктом 4.10 Договора, Поставщик по требованию Покупателю обязан выплатить штраф в размере </w:t>
            </w:r>
            <w:r>
              <w:rPr>
                <w:b/>
                <w:bCs/>
                <w:sz w:val="22"/>
                <w:szCs w:val="22"/>
                <w:lang w:val="ru-RU"/>
              </w:rPr>
              <w:t>5%</w:t>
            </w:r>
            <w:r>
              <w:rPr>
                <w:sz w:val="22"/>
                <w:szCs w:val="22"/>
                <w:lang w:val="ru-RU"/>
              </w:rPr>
              <w:t xml:space="preserve"> от стоимости всей партии товара, в которой выявлены указанные нарушения либо в отношении которой не предоставлены надлежаще оформленные документы.</w:t>
            </w:r>
          </w:p>
        </w:tc>
      </w:tr>
      <w:tr w:rsidR="00941C46"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C46" w:rsidRDefault="00941C46">
            <w:pPr>
              <w:pStyle w:val="a8"/>
              <w:snapToGrid w:val="0"/>
              <w:spacing w:before="57" w:after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2.</w:t>
            </w:r>
            <w:r>
              <w:rPr>
                <w:sz w:val="22"/>
                <w:szCs w:val="22"/>
                <w:lang w:val="ru-RU"/>
              </w:rPr>
              <w:t xml:space="preserve"> В случае</w:t>
            </w:r>
            <w:proofErr w:type="gramStart"/>
            <w:r>
              <w:rPr>
                <w:sz w:val="22"/>
                <w:szCs w:val="22"/>
                <w:lang w:val="ru-RU"/>
              </w:rPr>
              <w:t>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если в результате неполноты или недостоверности информации, содержащейся в сопроводительных документах к товару на Покупателя (должностных лиц Покупателя) будут наложены взыскания компетентными государственными органами, Поставщик обязуется компенсировать Покупателю все штрафные санкции, а также возместить Покупателю убытки, вызванные неисполнением Поставщиком своих обязательств.</w:t>
            </w:r>
          </w:p>
        </w:tc>
      </w:tr>
      <w:tr w:rsidR="00941C46"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C46" w:rsidRDefault="00941C46">
            <w:pPr>
              <w:pStyle w:val="a8"/>
              <w:snapToGrid w:val="0"/>
              <w:spacing w:before="57" w:after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В случае поставки товаров ненадлежащего качества, 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в том числе несоответствующих санитарно-эпидемиологическим требованиям и/или создающего угрозу жизни и здоровью потребителей, а также поставки Товара, не соответствующего требованиям, предусмотренным пунктом 1.3 Договора, за первое такое нарушение </w:t>
            </w:r>
            <w:r>
              <w:rPr>
                <w:sz w:val="22"/>
                <w:szCs w:val="22"/>
                <w:lang w:val="ru-RU"/>
              </w:rPr>
              <w:t xml:space="preserve">Поставщик уплачивает Покупателю штраф в размере </w:t>
            </w: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>% от стоимости всей партии товара, в которой выявлены указанные нарушения.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За каждое последующее подобное нарушение в пределах календарного года размер штрафа увеличивается на </w:t>
            </w:r>
            <w:r>
              <w:rPr>
                <w:b/>
                <w:bCs/>
                <w:sz w:val="22"/>
                <w:szCs w:val="22"/>
                <w:lang w:val="ru-RU"/>
              </w:rPr>
              <w:t>5%</w:t>
            </w:r>
            <w:r>
              <w:rPr>
                <w:sz w:val="22"/>
                <w:szCs w:val="22"/>
                <w:lang w:val="ru-RU"/>
              </w:rPr>
              <w:t xml:space="preserve">, но не более </w:t>
            </w:r>
            <w:r>
              <w:rPr>
                <w:b/>
                <w:bCs/>
                <w:sz w:val="22"/>
                <w:szCs w:val="22"/>
                <w:lang w:val="ru-RU"/>
              </w:rPr>
              <w:t>15%</w:t>
            </w:r>
            <w:r>
              <w:rPr>
                <w:sz w:val="22"/>
                <w:szCs w:val="22"/>
                <w:lang w:val="ru-RU"/>
              </w:rPr>
              <w:t xml:space="preserve"> от стоимости всей партии товара, в которой выявлены указанные нарушения.</w:t>
            </w:r>
          </w:p>
        </w:tc>
      </w:tr>
      <w:tr w:rsidR="00941C46"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C46" w:rsidRDefault="00941C46">
            <w:pPr>
              <w:pStyle w:val="a8"/>
              <w:snapToGrid w:val="0"/>
              <w:spacing w:before="57" w:after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4.</w:t>
            </w:r>
            <w:r>
              <w:rPr>
                <w:sz w:val="22"/>
                <w:szCs w:val="22"/>
                <w:lang w:val="ru-RU"/>
              </w:rPr>
              <w:t xml:space="preserve"> В случае</w:t>
            </w:r>
            <w:proofErr w:type="gramStart"/>
            <w:r>
              <w:rPr>
                <w:sz w:val="22"/>
                <w:szCs w:val="22"/>
                <w:lang w:val="ru-RU"/>
              </w:rPr>
              <w:t>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если в результате поставки некачественного товара, а также товара, на упаковке, ярлыке, этикетке, в технической документации которого содержится неполная и/или недостоверная информация, которая является обязательной в соответствии с законодательством о защите прав потребителей, Федеральным законом «О рекламе», в случае отсутствия на товаре предусмотренной законом маркировки, в случае поставки товара, упаковка которого не соответствует требованиям, предусмотренным в пунктом </w:t>
            </w:r>
            <w:proofErr w:type="gramStart"/>
            <w:r>
              <w:rPr>
                <w:sz w:val="22"/>
                <w:szCs w:val="22"/>
                <w:lang w:val="ru-RU"/>
              </w:rPr>
              <w:t>1.3 Договора, на Покупателя или должностных лиц Покупателя компетентными государственными органами будут наложены административные взыскания, Поставщик обязуется компенсировать Покупателю все штрафные санкции, а также возместить Покупателю убытки, вызванные неисполнением Поставщиком своих обязательств, а в случае предъявления к Покупателю третьими лицами требований о компенсации материального ущерба и/или морального вреда - возместить все возникшие документально подтвержденные расходы Покупателя.</w:t>
            </w:r>
            <w:proofErr w:type="gramEnd"/>
          </w:p>
        </w:tc>
      </w:tr>
      <w:tr w:rsidR="00941C46"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C46" w:rsidRDefault="00941C46">
            <w:pPr>
              <w:pStyle w:val="a8"/>
              <w:snapToGrid w:val="0"/>
              <w:spacing w:before="57" w:after="57"/>
              <w:rPr>
                <w:rFonts w:eastAsia="Arial" w:cs="Arial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5.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Arial" w:cs="Arial"/>
                <w:sz w:val="22"/>
                <w:szCs w:val="22"/>
                <w:lang w:val="ru-RU"/>
              </w:rPr>
              <w:t>В случае</w:t>
            </w:r>
            <w:proofErr w:type="gramStart"/>
            <w:r>
              <w:rPr>
                <w:rFonts w:eastAsia="Arial" w:cs="Arial"/>
                <w:sz w:val="22"/>
                <w:szCs w:val="22"/>
                <w:lang w:val="ru-RU"/>
              </w:rPr>
              <w:t>,</w:t>
            </w:r>
            <w:proofErr w:type="gramEnd"/>
            <w:r>
              <w:rPr>
                <w:rFonts w:eastAsia="Arial" w:cs="Arial"/>
                <w:sz w:val="22"/>
                <w:szCs w:val="22"/>
                <w:lang w:val="ru-RU"/>
              </w:rPr>
              <w:t xml:space="preserve"> если товар, поставляемый по настоящему Договору, не прошел выборочную верификацию, в том числе верификацию штрих-кода в соответствии с условиями настоящего Договора, а также в случае отсутствующего либо некорректно считываемого штрих-кода, о чем свидетельствует составленный Покупателем Акт, Поставщик выплачивает Покупателю штраф в размере </w:t>
            </w:r>
            <w:r>
              <w:rPr>
                <w:rFonts w:eastAsia="Arial" w:cs="Arial"/>
                <w:b/>
                <w:bCs/>
                <w:sz w:val="22"/>
                <w:szCs w:val="22"/>
                <w:lang w:val="ru-RU"/>
              </w:rPr>
              <w:t>3%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 от стоимости всей партии товара, в которой были выявлены нарушения.</w:t>
            </w:r>
          </w:p>
        </w:tc>
      </w:tr>
      <w:tr w:rsidR="00941C46">
        <w:tc>
          <w:tcPr>
            <w:tcW w:w="10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C46" w:rsidRDefault="00941C46">
            <w:pPr>
              <w:snapToGrid w:val="0"/>
              <w:spacing w:before="57" w:after="57"/>
              <w:jc w:val="both"/>
              <w:rPr>
                <w:rFonts w:eastAsia="Arial" w:cs="Arial"/>
                <w:color w:val="auto"/>
                <w:sz w:val="22"/>
                <w:szCs w:val="22"/>
                <w:lang w:val="ru-RU"/>
              </w:rPr>
            </w:pPr>
            <w:r>
              <w:rPr>
                <w:rFonts w:eastAsia="Arial" w:cs="Arial"/>
                <w:b/>
                <w:bCs/>
                <w:color w:val="auto"/>
                <w:sz w:val="22"/>
                <w:szCs w:val="22"/>
                <w:lang w:val="ru-RU"/>
              </w:rPr>
              <w:t xml:space="preserve">6.1. </w:t>
            </w:r>
            <w:r>
              <w:rPr>
                <w:rFonts w:eastAsia="Arial" w:cs="Arial"/>
                <w:color w:val="auto"/>
                <w:sz w:val="22"/>
                <w:szCs w:val="22"/>
                <w:lang w:val="ru-RU"/>
              </w:rPr>
              <w:t xml:space="preserve">В случае непоставки определенного товара в соответствии с направленным Покупателем заказом, по требованию Покупателя Поставщик за каждый факт непоставки выплачивает штраф в размере </w:t>
            </w:r>
            <w:r>
              <w:rPr>
                <w:rFonts w:eastAsia="Arial" w:cs="Arial"/>
                <w:b/>
                <w:bCs/>
                <w:color w:val="auto"/>
                <w:sz w:val="22"/>
                <w:szCs w:val="22"/>
                <w:lang w:val="ru-RU"/>
              </w:rPr>
              <w:t>15%</w:t>
            </w:r>
            <w:r>
              <w:rPr>
                <w:rFonts w:eastAsia="Arial" w:cs="Arial"/>
                <w:color w:val="auto"/>
                <w:sz w:val="22"/>
                <w:szCs w:val="22"/>
                <w:lang w:val="ru-RU"/>
              </w:rPr>
              <w:t xml:space="preserve"> от стоимости всей подлежащей поставке партии этого товара. Непоставкой определенного товара считается полное неисполнение заказа Покупателя в части поставки данного товара даже при полной/частичной поставке иных товаров, включенных в этот же заказ Покупателя. </w:t>
            </w:r>
          </w:p>
        </w:tc>
      </w:tr>
      <w:tr w:rsidR="00941C46">
        <w:tc>
          <w:tcPr>
            <w:tcW w:w="10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C46" w:rsidRDefault="00941C46">
            <w:pPr>
              <w:snapToGrid w:val="0"/>
              <w:spacing w:before="57" w:after="57"/>
              <w:jc w:val="both"/>
              <w:rPr>
                <w:rFonts w:eastAsia="Arial" w:cs="Arial"/>
                <w:color w:val="auto"/>
                <w:sz w:val="22"/>
                <w:szCs w:val="22"/>
                <w:lang w:val="ru-RU"/>
              </w:rPr>
            </w:pPr>
            <w:r>
              <w:rPr>
                <w:rFonts w:eastAsia="Arial" w:cs="Arial"/>
                <w:b/>
                <w:bCs/>
                <w:color w:val="auto"/>
                <w:sz w:val="22"/>
                <w:szCs w:val="22"/>
                <w:lang w:val="ru-RU"/>
              </w:rPr>
              <w:t xml:space="preserve">6.2. </w:t>
            </w:r>
            <w:r>
              <w:rPr>
                <w:rFonts w:eastAsia="Arial" w:cs="Arial"/>
                <w:color w:val="auto"/>
                <w:sz w:val="22"/>
                <w:szCs w:val="22"/>
                <w:lang w:val="ru-RU"/>
              </w:rPr>
              <w:t xml:space="preserve">В случае недопоставки определенного товара в соответствии с направленным Покупателем заказом, по требованию Покупателя Поставщик за каждый факт недопоставки выплачивает штраф в размере </w:t>
            </w:r>
            <w:r>
              <w:rPr>
                <w:rFonts w:eastAsia="Arial" w:cs="Arial"/>
                <w:b/>
                <w:bCs/>
                <w:color w:val="auto"/>
                <w:sz w:val="22"/>
                <w:szCs w:val="22"/>
                <w:lang w:val="ru-RU"/>
              </w:rPr>
              <w:t>15%</w:t>
            </w:r>
            <w:r>
              <w:rPr>
                <w:rFonts w:eastAsia="Arial" w:cs="Arial"/>
                <w:color w:val="auto"/>
                <w:sz w:val="22"/>
                <w:szCs w:val="22"/>
                <w:lang w:val="ru-RU"/>
              </w:rPr>
              <w:t xml:space="preserve"> от стоимости недопоставленного товара. Недопоставкой определенного товара считается частичное исполнение заказа Покупателя в части поставки этого товара. Штраф за недопоставку определенного товара выставляется в случае, если его фактически поставленное количество составляет менее 85% (восьмидесяти пяти процентов) количества, предусмотренного соответствующим заказом Покупателя. </w:t>
            </w:r>
          </w:p>
        </w:tc>
      </w:tr>
      <w:tr w:rsidR="00941C46">
        <w:tc>
          <w:tcPr>
            <w:tcW w:w="10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C46" w:rsidRDefault="00941C46">
            <w:pPr>
              <w:snapToGrid w:val="0"/>
              <w:spacing w:before="57" w:after="57"/>
              <w:jc w:val="both"/>
              <w:rPr>
                <w:rFonts w:eastAsia="Arial" w:cs="Arial"/>
                <w:color w:val="auto"/>
                <w:sz w:val="22"/>
                <w:szCs w:val="22"/>
                <w:lang w:val="ru-RU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ru-RU"/>
              </w:rPr>
              <w:t xml:space="preserve">6.3. 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В случае </w:t>
            </w:r>
            <w:r>
              <w:rPr>
                <w:rFonts w:eastAsia="Arial" w:cs="Arial"/>
                <w:color w:val="auto"/>
                <w:sz w:val="22"/>
                <w:szCs w:val="22"/>
                <w:lang w:val="ru-RU"/>
              </w:rPr>
              <w:t xml:space="preserve">несоблюдения срока поставки, установленного Договором либо соответствующим Заказом </w:t>
            </w:r>
            <w:r>
              <w:rPr>
                <w:rFonts w:eastAsia="Arial" w:cs="Arial"/>
                <w:color w:val="auto"/>
                <w:sz w:val="22"/>
                <w:szCs w:val="22"/>
                <w:lang w:val="ru-RU"/>
              </w:rPr>
              <w:lastRenderedPageBreak/>
              <w:t xml:space="preserve">Покупателя, либо Графика поставки (при его наличии), согласованного Сторонами, Покупатель вправе по своему выбору либо принять такой товар, поставленный с нарушением, либо отказаться от его приемки. При этом независимо от того, принял Покупатель такой товар или отказался от его приемки, за каждый факт нарушения Поставщик по требованию Покупателя выплачивает штраф в размере </w:t>
            </w:r>
            <w:r>
              <w:rPr>
                <w:rFonts w:eastAsia="Arial" w:cs="Arial"/>
                <w:b/>
                <w:bCs/>
                <w:color w:val="auto"/>
                <w:sz w:val="22"/>
                <w:szCs w:val="22"/>
                <w:lang w:val="ru-RU"/>
              </w:rPr>
              <w:t>15%</w:t>
            </w:r>
            <w:r>
              <w:rPr>
                <w:rFonts w:eastAsia="Arial" w:cs="Arial"/>
                <w:color w:val="auto"/>
                <w:sz w:val="22"/>
                <w:szCs w:val="22"/>
                <w:lang w:val="ru-RU"/>
              </w:rPr>
              <w:t xml:space="preserve"> от стоимости всей партии товара, поставленного с нарушением срока поставки/Графика поставки.</w:t>
            </w:r>
          </w:p>
        </w:tc>
      </w:tr>
      <w:tr w:rsidR="00941C46">
        <w:tc>
          <w:tcPr>
            <w:tcW w:w="10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C46" w:rsidRDefault="00941C46">
            <w:pPr>
              <w:snapToGrid w:val="0"/>
              <w:spacing w:before="57" w:after="57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6.4.</w:t>
            </w:r>
            <w:r>
              <w:rPr>
                <w:sz w:val="22"/>
                <w:szCs w:val="22"/>
                <w:lang w:val="ru-RU"/>
              </w:rPr>
              <w:t xml:space="preserve"> При допущении Поставщиком одновременно нескольких нарушений из числа предусмотренных пунктами 6.2.-6.3 настоящего Приложения в отношении поставки определенного товара в рамках одного заказа, Покупатель </w:t>
            </w:r>
            <w:proofErr w:type="gramStart"/>
            <w:r>
              <w:rPr>
                <w:sz w:val="22"/>
                <w:szCs w:val="22"/>
                <w:lang w:val="ru-RU"/>
              </w:rPr>
              <w:t>имеет право самостоятельно выбрать по какому/каким из данных оснований ему следует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произвести начисление установленных настоящим Приложением штрафных санкций. При этом совокупный размер штрафных санкций за все нарушения из числа предусмотренных пунктами 6.2.-6.3 настоящего Приложения в отношении поставки определенного товара в рамках одного заказа не может превышать </w:t>
            </w:r>
            <w:r>
              <w:rPr>
                <w:b/>
                <w:bCs/>
                <w:sz w:val="22"/>
                <w:szCs w:val="22"/>
                <w:lang w:val="ru-RU"/>
              </w:rPr>
              <w:t>15%</w:t>
            </w:r>
            <w:r>
              <w:rPr>
                <w:sz w:val="22"/>
                <w:szCs w:val="22"/>
                <w:lang w:val="ru-RU"/>
              </w:rPr>
              <w:t xml:space="preserve"> от стоимости всего недопоставленного/несвоевременно поставленного определенного товара</w:t>
            </w:r>
          </w:p>
        </w:tc>
      </w:tr>
      <w:tr w:rsidR="00941C46"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C46" w:rsidRDefault="00941C46">
            <w:pPr>
              <w:pStyle w:val="a8"/>
              <w:snapToGrid w:val="0"/>
              <w:spacing w:before="57" w:after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. В случае поставки Покупателю товара по несогласованным ценам Поставщик обязан возместить Покупателю всю сумму отклонений от согласованных Сторонами цен. </w:t>
            </w:r>
          </w:p>
          <w:p w:rsidR="00941C46" w:rsidRDefault="00941C46">
            <w:pPr>
              <w:pStyle w:val="a8"/>
              <w:snapToGrid w:val="0"/>
              <w:spacing w:before="57" w:after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Поставщик по требованию Покупателя обязан также уплатить штраф в размере </w:t>
            </w:r>
            <w:r>
              <w:rPr>
                <w:b/>
                <w:bCs/>
                <w:sz w:val="22"/>
                <w:szCs w:val="22"/>
                <w:lang w:val="ru-RU"/>
              </w:rPr>
              <w:t>15 %</w:t>
            </w:r>
            <w:r>
              <w:rPr>
                <w:sz w:val="22"/>
                <w:szCs w:val="22"/>
                <w:lang w:val="ru-RU"/>
              </w:rPr>
              <w:t xml:space="preserve"> от суммы отклонений от согласованных цен.</w:t>
            </w:r>
          </w:p>
        </w:tc>
      </w:tr>
      <w:tr w:rsidR="00941C46"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C46" w:rsidRDefault="00941C46">
            <w:pPr>
              <w:pStyle w:val="a8"/>
              <w:snapToGrid w:val="0"/>
              <w:spacing w:before="57" w:after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8.</w:t>
            </w:r>
            <w:r>
              <w:rPr>
                <w:sz w:val="22"/>
                <w:szCs w:val="22"/>
                <w:lang w:val="ru-RU"/>
              </w:rPr>
              <w:t xml:space="preserve"> Стороны договорились, что все предусмотренные настоящим Приложением и Договором штрафные санкции и возмещения (компенсации) оплачиваются Поставщиком в течение 7 (семи) дней </w:t>
            </w:r>
            <w:proofErr w:type="gramStart"/>
            <w:r>
              <w:rPr>
                <w:sz w:val="22"/>
                <w:szCs w:val="22"/>
                <w:lang w:val="ru-RU"/>
              </w:rPr>
              <w:t>с даты получения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соответствующей претензии Покупателя.</w:t>
            </w:r>
          </w:p>
        </w:tc>
      </w:tr>
      <w:tr w:rsidR="00941C46"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C46" w:rsidRDefault="00941C46">
            <w:pPr>
              <w:pStyle w:val="a8"/>
              <w:snapToGrid w:val="0"/>
              <w:spacing w:before="57" w:after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9. </w:t>
            </w:r>
            <w:r>
              <w:rPr>
                <w:sz w:val="22"/>
                <w:szCs w:val="22"/>
                <w:lang w:val="ru-RU"/>
              </w:rPr>
              <w:t>Настоящее Приложение является неотъемлемой частью Договора.</w:t>
            </w:r>
          </w:p>
        </w:tc>
      </w:tr>
      <w:tr w:rsidR="00941C46"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C46" w:rsidRDefault="00941C46">
            <w:pPr>
              <w:pStyle w:val="a8"/>
              <w:snapToGrid w:val="0"/>
              <w:spacing w:before="57" w:after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10. </w:t>
            </w:r>
            <w:r>
              <w:rPr>
                <w:sz w:val="22"/>
                <w:szCs w:val="22"/>
                <w:lang w:val="ru-RU"/>
              </w:rPr>
              <w:t>Настоящее Приложение подписано уполномоченными представителями Сторон, составлено в двух экземплярах, имеющих одинаковую юридическую силу, по одному для каждой из Сторон.</w:t>
            </w:r>
          </w:p>
        </w:tc>
      </w:tr>
      <w:tr w:rsidR="00941C46"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C46" w:rsidRDefault="00941C46">
            <w:pPr>
              <w:pStyle w:val="a8"/>
              <w:snapToGrid w:val="0"/>
              <w:spacing w:before="57" w:after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11. </w:t>
            </w:r>
            <w:r>
              <w:rPr>
                <w:sz w:val="22"/>
                <w:szCs w:val="22"/>
                <w:lang w:val="ru-RU"/>
              </w:rPr>
              <w:t xml:space="preserve">Настоящее Приложение действует </w:t>
            </w:r>
            <w:proofErr w:type="gramStart"/>
            <w:r>
              <w:rPr>
                <w:sz w:val="22"/>
                <w:szCs w:val="22"/>
                <w:lang w:val="ru-RU"/>
              </w:rPr>
              <w:t>с даты заключения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Договора и прекращает свое действие при его расторжении.</w:t>
            </w:r>
          </w:p>
        </w:tc>
      </w:tr>
      <w:tr w:rsidR="00941C46"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C46" w:rsidRDefault="00941C46">
            <w:pPr>
              <w:pStyle w:val="Normal12"/>
              <w:tabs>
                <w:tab w:val="left" w:pos="709"/>
              </w:tabs>
              <w:snapToGrid w:val="0"/>
              <w:spacing w:before="57" w:after="57"/>
              <w:jc w:val="left"/>
              <w:rPr>
                <w:caps/>
                <w:sz w:val="22"/>
                <w:szCs w:val="22"/>
                <w:lang w:val="ru-RU"/>
              </w:rPr>
            </w:pPr>
          </w:p>
          <w:p w:rsidR="00941C46" w:rsidRDefault="00941C46">
            <w:pPr>
              <w:pStyle w:val="Normal12"/>
              <w:tabs>
                <w:tab w:val="left" w:pos="709"/>
              </w:tabs>
              <w:spacing w:before="57" w:after="57"/>
              <w:jc w:val="left"/>
              <w:rPr>
                <w:b/>
                <w:bCs/>
                <w:caps/>
                <w:sz w:val="22"/>
                <w:szCs w:val="22"/>
                <w:lang w:val="ru-RU"/>
              </w:rPr>
            </w:pPr>
            <w:r>
              <w:rPr>
                <w:b/>
                <w:bCs/>
                <w:caps/>
                <w:sz w:val="22"/>
                <w:szCs w:val="22"/>
                <w:lang w:val="ru-RU"/>
              </w:rPr>
              <w:t>Подписи:</w:t>
            </w:r>
          </w:p>
          <w:p w:rsidR="00941C46" w:rsidRDefault="00941C46">
            <w:pPr>
              <w:pStyle w:val="Normal12"/>
              <w:tabs>
                <w:tab w:val="left" w:pos="709"/>
              </w:tabs>
              <w:spacing w:before="57" w:after="57"/>
              <w:jc w:val="left"/>
              <w:rPr>
                <w:sz w:val="22"/>
                <w:szCs w:val="22"/>
                <w:lang w:val="ru-RU"/>
              </w:rPr>
            </w:pPr>
          </w:p>
          <w:p w:rsidR="00941C46" w:rsidRDefault="00941C46">
            <w:pPr>
              <w:pStyle w:val="Normal12"/>
              <w:tabs>
                <w:tab w:val="left" w:pos="709"/>
              </w:tabs>
              <w:spacing w:before="57" w:after="57"/>
              <w:jc w:val="left"/>
              <w:rPr>
                <w:sz w:val="22"/>
                <w:szCs w:val="22"/>
                <w:lang w:val="ru-RU"/>
              </w:rPr>
            </w:pPr>
          </w:p>
          <w:p w:rsidR="00941C46" w:rsidRDefault="00941C46">
            <w:pPr>
              <w:pStyle w:val="Normal12"/>
              <w:tabs>
                <w:tab w:val="left" w:pos="709"/>
              </w:tabs>
              <w:spacing w:before="57" w:after="57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Поставщика:</w:t>
            </w:r>
          </w:p>
          <w:p w:rsidR="00941C46" w:rsidRDefault="00941C46">
            <w:pPr>
              <w:pStyle w:val="Normal12"/>
              <w:tabs>
                <w:tab w:val="left" w:pos="709"/>
              </w:tabs>
              <w:spacing w:before="57" w:after="57"/>
              <w:jc w:val="left"/>
              <w:rPr>
                <w:sz w:val="22"/>
                <w:szCs w:val="22"/>
                <w:lang w:val="ru-RU"/>
              </w:rPr>
            </w:pPr>
          </w:p>
          <w:p w:rsidR="00941C46" w:rsidRDefault="00941C46">
            <w:pPr>
              <w:pStyle w:val="Normal12"/>
              <w:tabs>
                <w:tab w:val="left" w:pos="709"/>
              </w:tabs>
              <w:spacing w:before="57" w:after="57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 ______________________</w:t>
            </w:r>
          </w:p>
          <w:p w:rsidR="00941C46" w:rsidRDefault="00941C46">
            <w:pPr>
              <w:pStyle w:val="Normal12"/>
              <w:tabs>
                <w:tab w:val="left" w:pos="709"/>
              </w:tabs>
              <w:spacing w:before="57" w:after="57"/>
              <w:jc w:val="left"/>
              <w:rPr>
                <w:sz w:val="22"/>
                <w:szCs w:val="22"/>
                <w:lang w:val="ru-RU"/>
              </w:rPr>
            </w:pPr>
          </w:p>
          <w:p w:rsidR="00941C46" w:rsidRDefault="00941C46">
            <w:pPr>
              <w:pStyle w:val="Normal12"/>
              <w:tabs>
                <w:tab w:val="left" w:pos="709"/>
              </w:tabs>
              <w:spacing w:before="57" w:after="57"/>
              <w:jc w:val="left"/>
              <w:rPr>
                <w:sz w:val="22"/>
                <w:szCs w:val="22"/>
                <w:lang w:val="ru-RU"/>
              </w:rPr>
            </w:pPr>
          </w:p>
          <w:p w:rsidR="00941C46" w:rsidRDefault="00941C46">
            <w:pPr>
              <w:pStyle w:val="Normal12"/>
              <w:tabs>
                <w:tab w:val="left" w:pos="709"/>
              </w:tabs>
              <w:spacing w:before="57" w:after="57"/>
              <w:jc w:val="left"/>
              <w:rPr>
                <w:sz w:val="22"/>
                <w:szCs w:val="22"/>
                <w:lang w:val="ru-RU"/>
              </w:rPr>
            </w:pPr>
          </w:p>
          <w:p w:rsidR="00941C46" w:rsidRDefault="00941C46">
            <w:pPr>
              <w:pStyle w:val="Normal12"/>
              <w:tabs>
                <w:tab w:val="left" w:pos="709"/>
              </w:tabs>
              <w:spacing w:before="57" w:after="57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АО «Тандер»:</w:t>
            </w:r>
          </w:p>
          <w:p w:rsidR="00941C46" w:rsidRDefault="00941C46">
            <w:pPr>
              <w:pStyle w:val="Normal12"/>
              <w:tabs>
                <w:tab w:val="left" w:pos="709"/>
              </w:tabs>
              <w:spacing w:before="57" w:after="57"/>
              <w:jc w:val="left"/>
              <w:rPr>
                <w:bCs/>
                <w:sz w:val="22"/>
                <w:szCs w:val="22"/>
                <w:lang w:val="ru-RU"/>
              </w:rPr>
            </w:pPr>
          </w:p>
          <w:p w:rsidR="00941C46" w:rsidRDefault="00941C46">
            <w:pPr>
              <w:pStyle w:val="Normal12"/>
              <w:tabs>
                <w:tab w:val="left" w:pos="709"/>
              </w:tabs>
              <w:spacing w:before="57" w:after="57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______________________ ______________________</w:t>
            </w:r>
          </w:p>
          <w:p w:rsidR="00941C46" w:rsidRDefault="00941C46">
            <w:pPr>
              <w:pStyle w:val="Normal12"/>
              <w:tabs>
                <w:tab w:val="left" w:pos="709"/>
              </w:tabs>
              <w:spacing w:before="57" w:after="57"/>
              <w:jc w:val="left"/>
              <w:rPr>
                <w:bCs/>
                <w:sz w:val="22"/>
                <w:szCs w:val="22"/>
                <w:lang w:val="ru-RU"/>
              </w:rPr>
            </w:pPr>
          </w:p>
        </w:tc>
      </w:tr>
    </w:tbl>
    <w:p w:rsidR="00941C46" w:rsidRDefault="00941C46">
      <w:pPr>
        <w:tabs>
          <w:tab w:val="left" w:pos="709"/>
        </w:tabs>
      </w:pPr>
    </w:p>
    <w:sectPr w:rsidR="00941C46">
      <w:footerReference w:type="default" r:id="rId6"/>
      <w:pgSz w:w="11906" w:h="16838"/>
      <w:pgMar w:top="1050" w:right="567" w:bottom="738" w:left="1134" w:header="367" w:footer="43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7B" w:rsidRDefault="0091147B">
      <w:r>
        <w:separator/>
      </w:r>
    </w:p>
  </w:endnote>
  <w:endnote w:type="continuationSeparator" w:id="0">
    <w:p w:rsidR="0091147B" w:rsidRDefault="00911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46" w:rsidRDefault="00941C46">
    <w:r>
      <w:rPr>
        <w:sz w:val="20"/>
        <w:szCs w:val="20"/>
        <w:lang w:val="ru-RU"/>
      </w:rPr>
      <w:t xml:space="preserve">Поставщик ___________________ </w:t>
    </w:r>
    <w:r>
      <w:rPr>
        <w:sz w:val="20"/>
        <w:szCs w:val="20"/>
        <w:lang w:val="ru-RU"/>
      </w:rPr>
      <w:tab/>
    </w:r>
    <w:r>
      <w:rPr>
        <w:sz w:val="20"/>
        <w:szCs w:val="20"/>
        <w:lang w:val="ru-RU"/>
      </w:rPr>
      <w:tab/>
    </w:r>
    <w:r>
      <w:rPr>
        <w:sz w:val="20"/>
        <w:szCs w:val="20"/>
        <w:lang w:val="ru-RU"/>
      </w:rPr>
      <w:tab/>
      <w:t>Покупатель_______________________</w:t>
    </w:r>
    <w:r>
      <w:rPr>
        <w:sz w:val="20"/>
        <w:szCs w:val="20"/>
      </w:rPr>
      <w:t xml:space="preserve">   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D702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7B" w:rsidRDefault="0091147B">
      <w:r>
        <w:separator/>
      </w:r>
    </w:p>
  </w:footnote>
  <w:footnote w:type="continuationSeparator" w:id="0">
    <w:p w:rsidR="0091147B" w:rsidRDefault="00911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46753"/>
    <w:rsid w:val="00046753"/>
    <w:rsid w:val="0058768F"/>
    <w:rsid w:val="007E2941"/>
    <w:rsid w:val="0091147B"/>
    <w:rsid w:val="00941C46"/>
    <w:rsid w:val="00AD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">
    <w:name w:val="Основной шрифт абзаца5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4">
    <w:name w:val="Основной шрифт абзаца4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">
    <w:name w:val="Основной шрифт абзаца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basedOn w:val="2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5">
    <w:name w:val="Текст выноски Знак"/>
    <w:basedOn w:val="2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a6">
    <w:name w:val="Нижний колонтитул Знак"/>
    <w:basedOn w:val="2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jc w:val="both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6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0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22">
    <w:name w:val="Цитата2"/>
    <w:basedOn w:val="a"/>
    <w:pPr>
      <w:suppressAutoHyphens w:val="0"/>
      <w:ind w:left="567" w:right="-810" w:hanging="567"/>
      <w:jc w:val="both"/>
    </w:pPr>
    <w:rPr>
      <w:sz w:val="28"/>
      <w:lang w:val="ru-RU"/>
    </w:rPr>
  </w:style>
  <w:style w:type="paragraph" w:customStyle="1" w:styleId="Normal12">
    <w:name w:val="Normal+12"/>
    <w:basedOn w:val="a"/>
    <w:pPr>
      <w:spacing w:after="240"/>
      <w:jc w:val="both"/>
    </w:pPr>
    <w:rPr>
      <w:szCs w:val="20"/>
    </w:rPr>
  </w:style>
  <w:style w:type="paragraph" w:customStyle="1" w:styleId="12">
    <w:name w:val="Цитата1"/>
    <w:basedOn w:val="a"/>
    <w:pPr>
      <w:ind w:left="567" w:right="-810" w:hanging="567"/>
      <w:jc w:val="both"/>
    </w:pPr>
    <w:rPr>
      <w:sz w:val="28"/>
      <w:lang w:val="ru-RU"/>
    </w:rPr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alloon Text"/>
    <w:basedOn w:val="a"/>
    <w:rPr>
      <w:rFonts w:ascii="Tahoma" w:hAnsi="Tahoma"/>
      <w:sz w:val="16"/>
      <w:szCs w:val="16"/>
    </w:rPr>
  </w:style>
  <w:style w:type="paragraph" w:styleId="af1">
    <w:name w:val="Normal (Web)"/>
    <w:basedOn w:val="a"/>
    <w:pPr>
      <w:widowControl/>
      <w:suppressAutoHyphens w:val="0"/>
      <w:spacing w:before="100" w:after="119"/>
    </w:pPr>
    <w:rPr>
      <w:rFonts w:eastAsia="Times New Roman"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rybalkina</dc:creator>
  <cp:lastModifiedBy>deleteme</cp:lastModifiedBy>
  <cp:revision>2</cp:revision>
  <cp:lastPrinted>2016-07-01T12:56:00Z</cp:lastPrinted>
  <dcterms:created xsi:type="dcterms:W3CDTF">2018-11-15T11:37:00Z</dcterms:created>
  <dcterms:modified xsi:type="dcterms:W3CDTF">2018-11-15T11:37:00Z</dcterms:modified>
</cp:coreProperties>
</file>